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5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margin">
                  <wp:posOffset>4171950</wp:posOffset>
                </wp:positionH>
                <wp:positionV relativeFrom="paragraph">
                  <wp:posOffset>-142240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Ｒ５フォーラム研修動画用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7;mso-wrap-distance-left:9pt;width:159pt;height:19.95pt;mso-wrap-mode:square;mso-position-horizontal-relative:margin;position:absolute;margin-left:328.5pt;margin-top:-11.2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Ｒ５フォーラム研修動画用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⑵　校内研修</w:t>
      </w:r>
      <w:bookmarkStart w:id="0" w:name="_GoBack"/>
      <w:bookmarkEnd w:id="0"/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・学校の現状や課題を踏まえた協議テーマとする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・学校の現状、教職員の意識等を踏まえた「研修のねらい」を設定する。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(30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98425</wp:posOffset>
                      </wp:positionV>
                      <wp:extent cx="2571750" cy="285750"/>
                      <wp:effectExtent l="635" t="635" r="29845" b="10795"/>
                      <wp:wrapNone/>
                      <wp:docPr id="1028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（←「協議」後の視聴も可）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3;mso-wrap-distance-left:9pt;width:202.5pt;height:22.5pt;mso-position-horizontal-relative:text;position:absolute;margin-left:-5.e-002pt;margin-top:7.75pt;mso-wrap-distance-bottom:0pt;mso-wrap-distance-right:9pt;mso-wrap-distance-top:0pt;v-text-anchor:middle;" o:spid="_x0000_s1028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（←「協議」後の視聴も可）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9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9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(1</w:t>
            </w:r>
            <w:r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  <w:t>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)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90805</wp:posOffset>
                      </wp:positionV>
                      <wp:extent cx="2571750" cy="285750"/>
                      <wp:effectExtent l="635" t="635" r="29845" b="10795"/>
                      <wp:wrapNone/>
                      <wp:docPr id="1030" name="大かっこ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大かっこ 1"/>
                            <wps:cNvSpPr/>
                            <wps:spPr>
                              <a:xfrm>
                                <a:off x="0" y="0"/>
                                <a:ext cx="2571750" cy="2857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contextualSpacing w:val="1"/>
                                    <w:mirrorIndents w:val="1"/>
                                    <w:jc w:val="left"/>
                                    <w:rPr>
                                      <w:rFonts w:hint="default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 w:val="1"/>
                                      <w:color w:val="000000" w:themeColor="text1"/>
                                      <w:sz w:val="20"/>
                                    </w:rPr>
                                    <w:t>〇　講評動画視聴</w:t>
                                  </w: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color w:val="000000" w:themeColor="text1"/>
                                      <w:sz w:val="20"/>
                                    </w:rPr>
                                    <w:t>（←「協議」前の視聴も可）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36000" tIns="0" rIns="3600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style="mso-position-vertical-relative:text;z-index:4;mso-wrap-distance-left:9pt;width:202.5pt;height:22.5pt;mso-position-horizontal-relative:text;position:absolute;margin-left:0.6pt;margin-top:7.15pt;mso-wrap-distance-bottom:0pt;mso-wrap-distance-right:9pt;mso-wrap-distance-top:0pt;v-text-anchor:middle;" o:spid="_x0000_s1030" o:allowincell="t" o:allowoverlap="t" filled="f" stroked="t" strokecolor="#000000 [3200]" strokeweight="0.5pt" o:spt="185" type="#_x0000_t185" adj="3600">
                      <v:fill/>
                      <v:stroke linestyle="single" miterlimit="8" endcap="flat" dashstyle="solid" filltype="solid"/>
                      <v:textbox style="layout-flow:horizontal;" inset="0.99999999999999978mm,0mm,0.99999999999999978mm,0mm">
                        <w:txbxContent>
                          <w:p>
                            <w:pPr>
                              <w:pStyle w:val="0"/>
                              <w:contextualSpacing w:val="1"/>
                              <w:mirrorIndents w:val="1"/>
                              <w:jc w:val="left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color w:val="000000" w:themeColor="text1"/>
                                <w:sz w:val="20"/>
                              </w:rPr>
                              <w:t>〇　講評動画視聴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0"/>
                              </w:rPr>
                              <w:t>（←「協議」前の視聴も可）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</Words>
  <Characters>575</Characters>
  <Application>JUST Note</Application>
  <Lines>71</Lines>
  <Paragraphs>45</Paragraphs>
  <Company>Hiroshima Prefecture</Company>
  <CharactersWithSpaces>608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2024-02-05T07:56:00Z</dcterms:created>
  <dcterms:modified xsi:type="dcterms:W3CDTF">2025-02-20T04:53:49Z</dcterms:modified>
  <cp:revision>5</cp:revision>
</cp:coreProperties>
</file>