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P-R" w:hAnsi="UD デジタル 教科書体 NP-R" w:eastAsia="UD デジタル 教科書体 NP-R"/>
          <w:w w:val="200"/>
          <w:sz w:val="28"/>
        </w:rPr>
      </w:pPr>
      <w:bookmarkStart w:id="0" w:name="_GoBack"/>
      <w:bookmarkEnd w:id="0"/>
      <w:r>
        <w:rPr>
          <w:rFonts w:hint="eastAsia" w:ascii="UD デジタル 教科書体 NP-R" w:hAnsi="UD デジタル 教科書体 NP-R" w:eastAsia="UD デジタル 教科書体 NP-R"/>
          <w:w w:val="200"/>
          <w:sz w:val="28"/>
        </w:rPr>
        <w:t>ワークシート</w:t>
      </w:r>
    </w:p>
    <w:p>
      <w:pPr>
        <w:pStyle w:val="0"/>
        <w:rPr>
          <w:rFonts w:hint="default"/>
        </w:rPr>
      </w:pPr>
    </w:p>
    <w:p>
      <w:pPr>
        <w:pStyle w:val="0"/>
        <w:ind w:firstLine="223"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24"/>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302260</wp:posOffset>
                </wp:positionV>
                <wp:extent cx="6047740" cy="476250"/>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476250"/>
                        </a:xfrm>
                        <a:prstGeom prst="rect">
                          <a:avLst/>
                        </a:prstGeom>
                        <a:solidFill>
                          <a:schemeClr val="lt1"/>
                        </a:solidFill>
                        <a:ln w="28575" cap="rnd">
                          <a:solidFill>
                            <a:prstClr val="black"/>
                          </a:solidFill>
                          <a:prstDash val="sysDot"/>
                        </a:ln>
                      </wps:spPr>
                      <wps:txbx>
                        <w:txbxContent>
                          <w:p>
                            <w:pPr>
                              <w:pStyle w:val="0"/>
                              <w:rPr>
                                <w:rFonts w:hint="eastAsia"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b w:val="1"/>
                                <w:kern w:val="0"/>
                                <w:sz w:val="24"/>
                              </w:rPr>
                              <w:t>学校のカリキュラムと地域等の連携・協働の取組（日彰館高等学校）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37.5pt;mso-position-horizontal-relative:text;position:absolute;margin-left:11.55pt;margin-top:23.8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rPr>
                          <w:rFonts w:hint="eastAsia"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b w:val="1"/>
                          <w:kern w:val="0"/>
                          <w:sz w:val="24"/>
                        </w:rPr>
                        <w:t>学校のカリキュラムと地域等の連携・協働の取組（日彰館高等学校）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342265</wp:posOffset>
                </wp:positionV>
                <wp:extent cx="6047740" cy="742950"/>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742950"/>
                        </a:xfrm>
                        <a:prstGeom prst="rect">
                          <a:avLst/>
                        </a:prstGeom>
                        <a:solidFill>
                          <a:schemeClr val="lt1"/>
                        </a:solidFill>
                        <a:ln w="6350">
                          <a:solidFill>
                            <a:prstClr val="black"/>
                          </a:solidFill>
                        </a:ln>
                      </wps:spPr>
                      <wps:txbx>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地域の高等学校として地域を支える人材を育成するために、学校と地域で協働した教育課程を編成しています。コミュニティ・スクールの仕組みを活用した協働体制の構築のポイントについて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58.5pt;mso-position-horizontal-relative:text;position:absolute;margin-left:10.8pt;margin-top:26.9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地域の高等学校として地域を支える人材を育成するために、学校と地域で協働した教育課程を編成しています。コミュニティ・スクールの仕組みを活用した協働体制の構築のポイントについて学ぶことができます。</w:t>
                      </w:r>
                    </w:p>
                  </w:txbxContent>
                </v:textbox>
                <v:imagedata o:title=""/>
                <w10:wrap type="none" anchorx="text" anchory="text"/>
              </v:shape>
            </w:pict>
          </mc:Fallback>
        </mc:AlternateContent>
      </w:r>
      <w:r>
        <w:rPr>
          <w:rFonts w:hint="eastAsia"/>
        </w:rPr>
        <w:t>　</w: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eastAsia"/>
        </w:rPr>
      </w:pPr>
    </w:p>
    <w:p>
      <w:pPr>
        <w:pStyle w:val="0"/>
        <w:rPr>
          <w:rFonts w:hint="default"/>
        </w:rPr>
      </w:pPr>
    </w:p>
    <w:p>
      <w:pPr>
        <w:pStyle w:val="0"/>
        <w:ind w:firstLine="193" w:firstLineChars="10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47625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3.7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80645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6.3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302260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3.8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192</Characters>
  <Application>JUST Note</Application>
  <Lines>39</Lines>
  <Paragraphs>9</Paragraphs>
  <Company>Hiroshima Prefecture</Company>
  <CharactersWithSpaces>231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稲冨 裕美</cp:lastModifiedBy>
  <cp:lastPrinted>2024-02-05T07:07:00Z</cp:lastPrinted>
  <dcterms:created xsi:type="dcterms:W3CDTF">2024-02-05T08:11:00Z</dcterms:created>
  <dcterms:modified xsi:type="dcterms:W3CDTF">2025-03-05T01:26:16Z</dcterms:modified>
  <cp:revision>2</cp:revision>
</cp:coreProperties>
</file>