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P-R" w:hAnsi="UD デジタル 教科書体 NP-R" w:eastAsia="UD デジタル 教科書体 NP-R"/>
          <w:w w:val="200"/>
          <w:sz w:val="28"/>
        </w:rPr>
      </w:pPr>
      <w:bookmarkStart w:id="0" w:name="_GoBack"/>
      <w:bookmarkEnd w:id="0"/>
      <w:r>
        <w:rPr>
          <w:rFonts w:hint="eastAsia" w:ascii="UD デジタル 教科書体 NP-R" w:hAnsi="UD デジタル 教科書体 NP-R" w:eastAsia="UD デジタル 教科書体 NP-R"/>
          <w:w w:val="200"/>
          <w:sz w:val="28"/>
        </w:rPr>
        <w:t>ワークシート</w:t>
      </w:r>
    </w:p>
    <w:p>
      <w:pPr>
        <w:pStyle w:val="0"/>
        <w:rPr>
          <w:rFonts w:hint="default"/>
        </w:rPr>
      </w:pPr>
    </w:p>
    <w:p>
      <w:pPr>
        <w:pStyle w:val="0"/>
        <w:ind w:firstLine="223"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24"/>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302260</wp:posOffset>
                </wp:positionV>
                <wp:extent cx="6047740" cy="476250"/>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476250"/>
                        </a:xfrm>
                        <a:prstGeom prst="rect">
                          <a:avLst/>
                        </a:prstGeom>
                        <a:solidFill>
                          <a:schemeClr val="lt1"/>
                        </a:solidFill>
                        <a:ln w="28575" cap="rnd">
                          <a:solidFill>
                            <a:prstClr val="black"/>
                          </a:solidFill>
                          <a:prstDash val="sysDot"/>
                        </a:ln>
                      </wps:spPr>
                      <wps:txbx>
                        <w:txbxContent>
                          <w:p>
                            <w:pPr>
                              <w:pStyle w:val="0"/>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「社会に開かれた教育課程」でつなぐ中学校区の取組（三次市立三次中学校）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37.5pt;mso-position-horizontal-relative:text;position:absolute;margin-left:11.55pt;margin-top:23.8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rPr>
                          <w:rFonts w:hint="default"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sz w:val="28"/>
                        </w:rPr>
                        <w:t>「社会に開かれた教育課程」でつなぐ中学校区の取組（三次市立三次中学校）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342265</wp:posOffset>
                </wp:positionV>
                <wp:extent cx="6047740" cy="742950"/>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742950"/>
                        </a:xfrm>
                        <a:prstGeom prst="rect">
                          <a:avLst/>
                        </a:prstGeom>
                        <a:solidFill>
                          <a:schemeClr val="lt1"/>
                        </a:solidFill>
                        <a:ln w="6350">
                          <a:solidFill>
                            <a:prstClr val="black"/>
                          </a:solidFill>
                        </a:ln>
                      </wps:spPr>
                      <wps:txbx>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キャリア教育を基軸として、育てたい資質・能力を共有した学校と地域との双方向の学びづくりの取組や、中学校区で取り組むコミュニティ・スクールの仕組みを活用したカリキュラムづくりについて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58.5pt;mso-position-horizontal-relative:text;position:absolute;margin-left:10.8pt;margin-top:26.9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キャリア教育を基軸として、育てたい資質・能力を共有した学校と地域との双方向の学びづくりの取組や、中学校区で取り組むコミュニティ・スクールの仕組みを活用したカリキュラムづくりについて学ぶことができます。</w:t>
                      </w:r>
                    </w:p>
                  </w:txbxContent>
                </v:textbox>
                <v:imagedata o:title=""/>
                <w10:wrap type="none" anchorx="text" anchory="text"/>
              </v:shape>
            </w:pict>
          </mc:Fallback>
        </mc:AlternateContent>
      </w:r>
      <w:r>
        <w:rPr>
          <w:rFonts w:hint="eastAsia"/>
        </w:rPr>
        <w:t>　</w: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eastAsia"/>
        </w:rPr>
      </w:pPr>
    </w:p>
    <w:p>
      <w:pPr>
        <w:pStyle w:val="0"/>
        <w:rPr>
          <w:rFonts w:hint="default"/>
        </w:rPr>
      </w:pPr>
    </w:p>
    <w:p>
      <w:pPr>
        <w:pStyle w:val="0"/>
        <w:ind w:firstLine="193" w:firstLineChars="10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47625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3.7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80645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6.3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302260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3.8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200</Characters>
  <Application>JUST Note</Application>
  <Lines>39</Lines>
  <Paragraphs>9</Paragraphs>
  <Company>Hiroshima Prefecture</Company>
  <CharactersWithSpaces>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稲冨 裕美</cp:lastModifiedBy>
  <cp:lastPrinted>2024-02-05T07:07:00Z</cp:lastPrinted>
  <dcterms:created xsi:type="dcterms:W3CDTF">2024-02-05T08:10:00Z</dcterms:created>
  <dcterms:modified xsi:type="dcterms:W3CDTF">2025-03-05T01:13:08Z</dcterms:modified>
  <cp:revision>2</cp:revision>
</cp:coreProperties>
</file>