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-12065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Ｒ７フォーラム研修動画用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159pt;height:19.95pt;mso-wrap-mode:square;mso-position-horizontal-relative:margin;position:absolute;margin-left:335.25pt;margin-top:-0.95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Ｒ７フォーラム研修動画用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⑶　学校運営協議会での熟議等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・名札の準備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校長（又は会長）挨拶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・学校の現状、管理職の意識等を踏まえた「研修のねらい」を設定する。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〈初対面の場合〉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・アイスブレイクグループ内で自己紹</w:t>
            </w:r>
          </w:p>
          <w:p>
            <w:pPr>
              <w:pStyle w:val="0"/>
              <w:ind w:left="193" w:left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介を行うなど緊張感をなくして、安心して発言できる雰囲気づくりを行う</w:t>
            </w: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講評動画視聴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</Words>
  <Characters>619</Characters>
  <Application>JUST Note</Application>
  <Lines>72</Lines>
  <Paragraphs>48</Paragraphs>
  <Company>Hiroshima Prefecture</Company>
  <CharactersWithSpaces>651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大屋 裕幸</cp:lastModifiedBy>
  <dcterms:created xsi:type="dcterms:W3CDTF">2024-02-05T06:41:00Z</dcterms:created>
  <dcterms:modified xsi:type="dcterms:W3CDTF">2026-02-16T01:28:53Z</dcterms:modified>
  <cp:revision>7</cp:revision>
</cp:coreProperties>
</file>