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-2540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Ｒ７フォーラム研修動画用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159pt;height:19.95pt;mso-wrap-mode:square;mso-position-horizontal-relative:margin;position:absolute;margin-left:335.25pt;margin-top:-0.2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Ｒ７フォーラム研修動画用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⑴　市町で開催する管理職研修会等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left="0" w:leftChars="0"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・市町の現状、管理職の意識等を踏まえた「研修のねらい」を設定する。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  <w:p>
            <w:pPr>
              <w:pStyle w:val="0"/>
              <w:tabs>
                <w:tab w:val="left" w:leader="none" w:pos="1804"/>
              </w:tabs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講評動画視聴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4</Words>
  <Characters>549</Characters>
  <Application>JUST Note</Application>
  <Lines>65</Lines>
  <Paragraphs>44</Paragraphs>
  <Company>Hiroshima Prefecture</Company>
  <CharactersWithSpaces>581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dcterms:created xsi:type="dcterms:W3CDTF">2024-02-05T06:41:00Z</dcterms:created>
  <dcterms:modified xsi:type="dcterms:W3CDTF">2026-01-30T01:12:52Z</dcterms:modified>
  <cp:revision>9</cp:revision>
</cp:coreProperties>
</file>