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4200525</wp:posOffset>
                </wp:positionH>
                <wp:positionV relativeFrom="paragraph">
                  <wp:posOffset>-8890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Ｒ６フォーラム研修動画用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159pt;height:19.95pt;mso-wrap-mode:square;mso-position-horizontal-relative:margin;position:absolute;margin-left:330.75pt;margin-top:-0.7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Ｒ６フォーラム研修動画用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  <w:highlight w:val="none"/>
        </w:rPr>
      </w:pPr>
      <w:r>
        <w:rPr>
          <w:rFonts w:hint="eastAsia" w:ascii="游ゴシック" w:hAnsi="游ゴシック" w:eastAsia="游ゴシック"/>
          <w:b w:val="1"/>
          <w:sz w:val="28"/>
        </w:rPr>
        <w:t>⑷　</w:t>
      </w:r>
      <w:r>
        <w:rPr>
          <w:rFonts w:hint="eastAsia" w:ascii="游ゴシック" w:hAnsi="游ゴシック" w:eastAsia="游ゴシック"/>
          <w:b w:val="1"/>
          <w:sz w:val="28"/>
          <w:highlight w:val="none"/>
        </w:rPr>
        <w:t>市町で開催する</w:t>
      </w:r>
      <w:r>
        <w:rPr>
          <w:rFonts w:hint="eastAsia" w:ascii="游ゴシック" w:hAnsi="游ゴシック" w:eastAsia="游ゴシック"/>
          <w:b w:val="1"/>
          <w:sz w:val="28"/>
        </w:rPr>
        <w:t>地域学校協働活動推進員等対象の研修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・市町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highlight w:val="none"/>
              </w:rPr>
              <w:t>の現状等を踏まえた「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30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講評動画視聴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（感想の交流、動画を視聴しての質問、自館で取り組んでみたいこと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10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4</Words>
  <Characters>552</Characters>
  <Application>JUST Note</Application>
  <Lines>65</Lines>
  <Paragraphs>44</Paragraphs>
  <Company>Hiroshima Prefecture</Company>
  <CharactersWithSpaces>583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大屋 裕幸</cp:lastModifiedBy>
  <dcterms:created xsi:type="dcterms:W3CDTF">2024-02-05T06:41:00Z</dcterms:created>
  <dcterms:modified xsi:type="dcterms:W3CDTF">2026-02-16T01:38:09Z</dcterms:modified>
  <cp:revision>7</cp:revision>
</cp:coreProperties>
</file>