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6" w:rightChars="100"/>
        <w:jc w:val="right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 w:ascii="ＭＳ Ｐゴシック" w:hAnsi="ＭＳ Ｐ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b w:val="1"/>
          <w:sz w:val="26"/>
        </w:rPr>
        <w:t>施設整備事業の概要（休日夜間救急センター）</w:t>
      </w:r>
    </w:p>
    <w:tbl>
      <w:tblPr>
        <w:tblStyle w:val="11"/>
        <w:tblW w:w="8930" w:type="dxa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276"/>
        <w:gridCol w:w="1395"/>
        <w:gridCol w:w="3991"/>
        <w:gridCol w:w="906"/>
        <w:gridCol w:w="1362"/>
      </w:tblGrid>
      <w:tr>
        <w:trPr>
          <w:trHeight w:val="30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auto"/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事業名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auto"/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事業内容</w:t>
            </w:r>
          </w:p>
        </w:tc>
        <w:tc>
          <w:tcPr>
            <w:tcW w:w="3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auto"/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基準額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auto"/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補助率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auto"/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実施主体</w:t>
            </w:r>
          </w:p>
        </w:tc>
      </w:tr>
      <w:tr>
        <w:trPr>
          <w:cantSplit/>
          <w:trHeight w:val="2853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休日夜間急患センター施設整備事業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休日夜間急患センターとして必要な部門の新築、増改築</w:t>
            </w:r>
          </w:p>
        </w:tc>
        <w:tc>
          <w:tcPr>
            <w:tcW w:w="3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基準面積×基準単価</w:t>
            </w:r>
          </w:p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  <w:bdr w:val="single" w:color="auto" w:sz="4" w:space="0"/>
              </w:rPr>
            </w:pPr>
            <w:r>
              <w:rPr>
                <w:rFonts w:hint="eastAsia"/>
                <w:color w:val="000000" w:themeColor="text1"/>
                <w:sz w:val="18"/>
                <w:bdr w:val="single" w:color="auto" w:sz="4" w:space="0"/>
              </w:rPr>
              <w:t>基準面積</w:t>
            </w:r>
          </w:p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人口</w:t>
            </w:r>
            <w:r>
              <w:rPr>
                <w:rFonts w:hint="eastAsia"/>
                <w:color w:val="000000" w:themeColor="text1"/>
                <w:sz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</w:rPr>
              <w:t>万人以上</w:t>
            </w:r>
            <w:r>
              <w:rPr>
                <w:rFonts w:hint="default"/>
                <w:color w:val="000000" w:themeColor="text1"/>
                <w:sz w:val="18"/>
              </w:rPr>
              <w:br w:type="textWrapping" w:clear="none"/>
            </w:r>
            <w:r>
              <w:rPr>
                <w:rFonts w:hint="eastAsia"/>
                <w:color w:val="000000" w:themeColor="text1"/>
                <w:sz w:val="18"/>
              </w:rPr>
              <w:t>　</w:t>
            </w:r>
            <w:r>
              <w:rPr>
                <w:rFonts w:hint="eastAsia"/>
                <w:color w:val="000000" w:themeColor="text1"/>
                <w:sz w:val="18"/>
              </w:rPr>
              <w:t>150</w:t>
            </w:r>
            <w:r>
              <w:rPr>
                <w:rFonts w:hint="eastAsia"/>
                <w:color w:val="000000" w:themeColor="text1"/>
                <w:sz w:val="18"/>
              </w:rPr>
              <w:t>㎡</w:t>
            </w: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特別に必要がある場合、</w:t>
            </w:r>
            <w:r>
              <w:rPr>
                <w:rFonts w:hint="eastAsia"/>
                <w:color w:val="000000" w:themeColor="text1"/>
                <w:sz w:val="18"/>
              </w:rPr>
              <w:t>300</w:t>
            </w:r>
            <w:r>
              <w:rPr>
                <w:rFonts w:hint="eastAsia"/>
                <w:color w:val="000000" w:themeColor="text1"/>
                <w:sz w:val="18"/>
              </w:rPr>
              <w:t>㎡を限度</w:t>
            </w:r>
            <w:r>
              <w:rPr>
                <w:rFonts w:hint="eastAsia"/>
                <w:color w:val="000000" w:themeColor="text1"/>
                <w:sz w:val="18"/>
              </w:rPr>
              <w:t>)</w:t>
            </w:r>
          </w:p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人口</w:t>
            </w:r>
            <w:r>
              <w:rPr>
                <w:rFonts w:hint="eastAsia"/>
                <w:color w:val="000000" w:themeColor="text1"/>
                <w:sz w:val="18"/>
              </w:rPr>
              <w:t>5</w:t>
            </w:r>
            <w:r>
              <w:rPr>
                <w:rFonts w:hint="eastAsia"/>
                <w:color w:val="000000" w:themeColor="text1"/>
                <w:sz w:val="18"/>
              </w:rPr>
              <w:t>万人以上</w:t>
            </w:r>
            <w:r>
              <w:rPr>
                <w:rFonts w:hint="eastAsia"/>
                <w:color w:val="000000" w:themeColor="text1"/>
                <w:sz w:val="18"/>
              </w:rPr>
              <w:t>10</w:t>
            </w:r>
            <w:r>
              <w:rPr>
                <w:rFonts w:hint="eastAsia"/>
                <w:color w:val="000000" w:themeColor="text1"/>
                <w:sz w:val="18"/>
              </w:rPr>
              <w:t>万人未満</w:t>
            </w:r>
            <w:r>
              <w:rPr>
                <w:rFonts w:hint="default"/>
                <w:color w:val="000000" w:themeColor="text1"/>
                <w:sz w:val="18"/>
              </w:rPr>
              <w:br w:type="textWrapping" w:clear="none"/>
            </w:r>
            <w:r>
              <w:rPr>
                <w:rFonts w:hint="eastAsia"/>
                <w:color w:val="000000" w:themeColor="text1"/>
                <w:sz w:val="18"/>
              </w:rPr>
              <w:t>　</w:t>
            </w:r>
            <w:r>
              <w:rPr>
                <w:rFonts w:hint="eastAsia"/>
                <w:color w:val="000000" w:themeColor="text1"/>
                <w:sz w:val="18"/>
              </w:rPr>
              <w:t>100</w:t>
            </w:r>
            <w:r>
              <w:rPr>
                <w:rFonts w:hint="eastAsia"/>
                <w:color w:val="000000" w:themeColor="text1"/>
                <w:sz w:val="18"/>
              </w:rPr>
              <w:t>㎡</w:t>
            </w: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特別に必要がある場合、</w:t>
            </w:r>
            <w:r>
              <w:rPr>
                <w:rFonts w:hint="eastAsia"/>
                <w:color w:val="000000" w:themeColor="text1"/>
                <w:sz w:val="18"/>
              </w:rPr>
              <w:t>200</w:t>
            </w:r>
            <w:r>
              <w:rPr>
                <w:rFonts w:hint="eastAsia"/>
                <w:color w:val="000000" w:themeColor="text1"/>
                <w:sz w:val="18"/>
              </w:rPr>
              <w:t>㎡を限度</w:t>
            </w:r>
            <w:r>
              <w:rPr>
                <w:rFonts w:hint="eastAsia"/>
                <w:color w:val="000000" w:themeColor="text1"/>
                <w:sz w:val="18"/>
              </w:rPr>
              <w:t>)</w:t>
            </w:r>
          </w:p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  <w:bdr w:val="single" w:color="auto" w:sz="4" w:space="0"/>
              </w:rPr>
            </w:pPr>
            <w:r>
              <w:rPr>
                <w:rFonts w:hint="eastAsia"/>
                <w:color w:val="000000" w:themeColor="text1"/>
                <w:sz w:val="18"/>
                <w:bdr w:val="single" w:color="auto" w:sz="4" w:space="0"/>
              </w:rPr>
              <w:t>基準単価</w:t>
            </w:r>
          </w:p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鉄筋</w:t>
            </w:r>
            <w:r>
              <w:rPr>
                <w:rFonts w:hint="eastAsia"/>
                <w:sz w:val="18"/>
              </w:rPr>
              <w:t>コンクリート：</w:t>
            </w:r>
            <w:r>
              <w:rPr>
                <w:rFonts w:hint="eastAsia"/>
                <w:sz w:val="18"/>
              </w:rPr>
              <w:t>558,000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default"/>
                <w:sz w:val="18"/>
              </w:rPr>
              <w:br w:type="textWrapping" w:clear="none"/>
            </w:r>
            <w:r>
              <w:rPr>
                <w:rFonts w:hint="eastAsia"/>
                <w:sz w:val="18"/>
              </w:rPr>
              <w:t>ブロック：</w:t>
            </w:r>
            <w:r>
              <w:rPr>
                <w:rFonts w:hint="eastAsia"/>
                <w:sz w:val="18"/>
              </w:rPr>
              <w:t>444,000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default"/>
                <w:sz w:val="18"/>
              </w:rPr>
              <w:br w:type="textWrapping" w:clear="none"/>
            </w:r>
            <w:r>
              <w:rPr>
                <w:rFonts w:hint="eastAsia"/>
                <w:sz w:val="18"/>
              </w:rPr>
              <w:t>木造：</w:t>
            </w:r>
            <w:r>
              <w:rPr>
                <w:rFonts w:hint="eastAsia"/>
                <w:sz w:val="18"/>
              </w:rPr>
              <w:t>362,000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ind w:left="-108" w:leftChars="-50" w:right="-108" w:rightChars="-50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0.33</w:t>
            </w:r>
          </w:p>
          <w:p>
            <w:pPr>
              <w:pStyle w:val="0"/>
              <w:spacing w:before="48" w:beforeLines="15" w:beforeAutospacing="0" w:after="48" w:afterLines="15" w:afterAutospacing="0" w:line="240" w:lineRule="exact"/>
              <w:ind w:left="-108" w:leftChars="-50" w:right="-108" w:rightChars="-50"/>
              <w:jc w:val="center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(</w:t>
            </w:r>
            <w:r>
              <w:rPr>
                <w:rFonts w:hint="eastAsia"/>
                <w:color w:val="000000" w:themeColor="text1"/>
                <w:sz w:val="18"/>
              </w:rPr>
              <w:t>国</w:t>
            </w:r>
            <w:r>
              <w:rPr>
                <w:rFonts w:hint="eastAsia"/>
                <w:color w:val="000000" w:themeColor="text1"/>
                <w:sz w:val="18"/>
              </w:rPr>
              <w:t>0.33)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48" w:beforeLines="15" w:beforeAutospacing="0" w:after="48" w:afterLines="15" w:afterAutospacing="0" w:line="240" w:lineRule="exact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公的団体、厚生労働大臣の認める者</w:t>
            </w:r>
            <w:r>
              <w:rPr>
                <w:rFonts w:hint="default"/>
                <w:color w:val="000000" w:themeColor="text1"/>
                <w:sz w:val="18"/>
              </w:rPr>
              <w:br w:type="textWrapping" w:clear="none"/>
            </w:r>
            <w:r>
              <w:rPr>
                <w:rFonts w:hint="eastAsia"/>
                <w:color w:val="000000" w:themeColor="text1"/>
                <w:sz w:val="18"/>
              </w:rPr>
              <w:t>【地方公共団体の長の要請を受けた診療所の開設者】</w:t>
            </w:r>
          </w:p>
        </w:tc>
      </w:tr>
    </w:tbl>
    <w:p>
      <w:pPr>
        <w:pStyle w:val="0"/>
        <w:ind w:left="410" w:leftChars="100" w:hanging="200" w:hangingChars="100"/>
        <w:rPr>
          <w:rFonts w:hint="default"/>
        </w:rPr>
      </w:pPr>
    </w:p>
    <w:p>
      <w:pPr>
        <w:pStyle w:val="0"/>
        <w:ind w:left="410" w:leftChars="100" w:hanging="200" w:hangingChars="100"/>
        <w:rPr>
          <w:rFonts w:hint="default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※　基準単価・基準面積は補助の上限であり、実際の整備単価・整備面積がこれらを下回る場合は、実際の単価・面積に基づいて算定を行います。</w:t>
      </w:r>
    </w:p>
    <w:p>
      <w:pPr>
        <w:pStyle w:val="0"/>
        <w:ind w:left="410" w:leftChars="100" w:hanging="200" w:hangingChars="100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spacing w:line="260" w:lineRule="exact"/>
        <w:ind w:left="410" w:leftChars="100" w:hanging="200" w:hangingChars="100"/>
        <w:rPr>
          <w:rFonts w:hint="default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※　補助条件等について、詳しくは担当にお問い合わせ下さい。</w:t>
      </w:r>
    </w:p>
    <w:p>
      <w:pPr>
        <w:pStyle w:val="0"/>
        <w:spacing w:line="260" w:lineRule="exact"/>
        <w:ind w:left="410" w:leftChars="100" w:hanging="200" w:hangingChars="100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spacing w:line="260" w:lineRule="exact"/>
        <w:ind w:left="410" w:leftChars="100" w:hanging="200" w:hangingChars="100"/>
        <w:rPr>
          <w:rFonts w:hint="default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※　当該一覧表は、各補助事業の概略を示しており、詳細については省略されている部分があることをご承知</w:t>
      </w:r>
    </w:p>
    <w:p>
      <w:pPr>
        <w:pStyle w:val="0"/>
        <w:spacing w:line="260" w:lineRule="exact"/>
        <w:ind w:left="410" w:leftChars="100" w:hanging="200" w:hangingChars="100"/>
        <w:rPr>
          <w:rFonts w:hint="default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おきく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18"/>
        </w:rPr>
        <w:t>ださい。</w:t>
      </w:r>
    </w:p>
    <w:p>
      <w:pPr>
        <w:pStyle w:val="0"/>
        <w:spacing w:line="20" w:lineRule="exact"/>
        <w:rPr>
          <w:rFonts w:hint="default"/>
        </w:rPr>
      </w:pPr>
    </w:p>
    <w:p>
      <w:pPr>
        <w:pStyle w:val="0"/>
        <w:spacing w:before="160" w:beforeLines="50" w:beforeAutospacing="0"/>
        <w:ind w:left="216" w:leftChars="100"/>
        <w:rPr>
          <w:rFonts w:hint="default"/>
          <w:color w:val="000000" w:themeColor="text1"/>
        </w:rPr>
      </w:pPr>
    </w:p>
    <w:sectPr>
      <w:pgSz w:w="11906" w:h="16838"/>
      <w:pgMar w:top="1134" w:right="1418" w:bottom="567" w:left="1418" w:header="851" w:footer="680" w:gutter="0"/>
      <w:cols w:space="720"/>
      <w:textDirection w:val="lrTb"/>
      <w:docGrid w:type="linesAndChars" w:linePitch="300" w:charSpace="-8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8"/>
  <w:drawingGridVerticalSpacing w:val="15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Ｐ明朝" w:hAnsi="ＭＳ Ｐ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Revision"/>
    <w:next w:val="21"/>
    <w:link w:val="0"/>
    <w:uiPriority w:val="0"/>
    <w:rPr>
      <w:sz w:val="22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2</Pages>
  <Words>51</Words>
  <Characters>1786</Characters>
  <Application>JUST Note</Application>
  <Lines>204</Lines>
  <Paragraphs>67</Paragraphs>
  <Company>広島県庁</Company>
  <CharactersWithSpaces>1841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山田 祐子</cp:lastModifiedBy>
  <cp:lastPrinted>2019-08-30T10:12:00Z</cp:lastPrinted>
  <dcterms:created xsi:type="dcterms:W3CDTF">2020-09-17T03:37:00Z</dcterms:created>
  <dcterms:modified xsi:type="dcterms:W3CDTF">2026-07-14T01:22:10Z</dcterms:modified>
  <cp:revision>30</cp:revision>
</cp:coreProperties>
</file>