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20" w:lineRule="exact"/>
        <w:jc w:val="center"/>
        <w:rPr>
          <w:rFonts w:hint="default" w:ascii="游明朝" w:hAnsi="游明朝" w:eastAsia="游明朝"/>
          <w:color w:val="auto"/>
          <w:sz w:val="28"/>
          <w:highlight w:val="none"/>
        </w:rPr>
      </w:pPr>
      <w:r>
        <w:rPr>
          <w:rFonts w:hint="eastAsia" w:ascii="游明朝" w:hAnsi="游明朝" w:eastAsia="游明朝"/>
          <w:color w:val="auto"/>
          <w:sz w:val="28"/>
          <w:highlight w:val="none"/>
        </w:rPr>
        <w:t>仕　様　書</w:t>
      </w:r>
    </w:p>
    <w:p>
      <w:pPr>
        <w:pStyle w:val="0"/>
        <w:spacing w:line="320" w:lineRule="exact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１　品目</w:t>
      </w:r>
    </w:p>
    <w:p>
      <w:pPr>
        <w:pStyle w:val="0"/>
        <w:spacing w:line="236" w:lineRule="exact"/>
        <w:ind w:left="360" w:firstLine="110" w:firstLineChars="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ベンリー間仕切りⅢ</w:t>
      </w: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２　基準品</w:t>
      </w:r>
    </w:p>
    <w:p>
      <w:pPr>
        <w:pStyle w:val="0"/>
        <w:spacing w:line="236" w:lineRule="exact"/>
        <w:ind w:firstLine="440" w:firstLineChars="200"/>
        <w:rPr>
          <w:rFonts w:hint="default" w:ascii="游明朝" w:hAnsi="游明朝" w:eastAsia="游明朝"/>
          <w:color w:val="auto"/>
          <w:sz w:val="22"/>
          <w:highlight w:val="none"/>
        </w:rPr>
      </w:pPr>
      <w:bookmarkStart w:id="0" w:name="_Hlk201658200"/>
      <w:r>
        <w:rPr>
          <w:rFonts w:hint="eastAsia" w:ascii="游明朝" w:hAnsi="游明朝" w:eastAsia="游明朝"/>
          <w:color w:val="auto"/>
          <w:sz w:val="22"/>
          <w:highlight w:val="none"/>
        </w:rPr>
        <w:t>ベンリー間仕切りⅢ（屋根２枚仕様）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BMH3-2Y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（株式会社ケンユー）（同等品可）</w:t>
      </w:r>
      <w:bookmarkEnd w:id="0"/>
      <w:bookmarkStart w:id="1" w:name="_Hlk201658228"/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504"/>
      </w:tblGrid>
      <w:tr>
        <w:trPr/>
        <w:tc>
          <w:tcPr>
            <w:tcW w:w="8504" w:type="dxa"/>
            <w:vAlign w:val="top"/>
          </w:tcPr>
          <w:p>
            <w:pPr>
              <w:pStyle w:val="0"/>
              <w:spacing w:line="236" w:lineRule="exact"/>
              <w:ind w:left="36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bookmarkEnd w:id="1"/>
          </w:p>
          <w:p>
            <w:pPr>
              <w:pStyle w:val="0"/>
              <w:spacing w:line="236" w:lineRule="exact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【規格】</w:t>
            </w:r>
          </w:p>
          <w:p>
            <w:pPr>
              <w:pStyle w:val="0"/>
              <w:numPr>
                <w:ilvl w:val="0"/>
                <w:numId w:val="1"/>
              </w:numPr>
              <w:spacing w:line="236" w:lineRule="exact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材　質：幕体はポリエステル（側内面：シルバーアルミコーティング）、</w:t>
            </w:r>
          </w:p>
          <w:p>
            <w:pPr>
              <w:pStyle w:val="0"/>
              <w:spacing w:line="236" w:lineRule="exact"/>
              <w:ind w:left="440" w:firstLine="1100" w:firstLineChars="50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抗菌・難燃加工スチールスプリング</w:t>
            </w:r>
          </w:p>
          <w:p>
            <w:pPr>
              <w:pStyle w:val="0"/>
              <w:numPr>
                <w:ilvl w:val="0"/>
                <w:numId w:val="1"/>
              </w:numPr>
              <w:spacing w:line="236" w:lineRule="exact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サイズ：〔組立時〕幅　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 xml:space="preserve"> 2,000mm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以上　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2,200mm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以下</w:t>
            </w:r>
          </w:p>
          <w:p>
            <w:pPr>
              <w:pStyle w:val="0"/>
              <w:spacing w:line="236" w:lineRule="exact"/>
              <w:ind w:left="440" w:firstLine="2090" w:firstLineChars="95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奥行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 xml:space="preserve"> 2,000mm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以上　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2,200mm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以下</w:t>
            </w:r>
          </w:p>
          <w:p>
            <w:pPr>
              <w:pStyle w:val="0"/>
              <w:spacing w:line="236" w:lineRule="exact"/>
              <w:ind w:left="440" w:firstLine="2090" w:firstLineChars="95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高さ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 xml:space="preserve"> 1,700mm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以上　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1,900mm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以下</w:t>
            </w:r>
          </w:p>
          <w:p>
            <w:pPr>
              <w:pStyle w:val="0"/>
              <w:spacing w:line="236" w:lineRule="exact"/>
              <w:ind w:firstLine="2530" w:firstLineChars="115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※幅と奥行きは、同じ長さとする。</w:t>
            </w:r>
          </w:p>
          <w:p>
            <w:pPr>
              <w:pStyle w:val="0"/>
              <w:spacing w:line="236" w:lineRule="exact"/>
              <w:ind w:left="2520" w:leftChars="120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※天井面が平行でない場合、最も低い部分の高さが</w:t>
            </w:r>
          </w:p>
          <w:p>
            <w:pPr>
              <w:pStyle w:val="0"/>
              <w:spacing w:line="236" w:lineRule="exact"/>
              <w:ind w:left="2520" w:leftChars="1200" w:firstLine="220" w:firstLineChars="10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1,500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ｍｍ以上あること。</w:t>
            </w:r>
          </w:p>
          <w:p>
            <w:pPr>
              <w:pStyle w:val="0"/>
              <w:spacing w:line="236" w:lineRule="exact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　　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 xml:space="preserve">       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　〔収納時〕円形となり、直径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800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ｍｍ以下×厚み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100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ｍｍ以下</w:t>
            </w:r>
          </w:p>
          <w:p>
            <w:pPr>
              <w:pStyle w:val="0"/>
              <w:spacing w:line="236" w:lineRule="exact"/>
              <w:ind w:firstLine="2420" w:firstLineChars="1100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（それぞれ上下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100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ｍｍまでの差は可）</w:t>
            </w:r>
          </w:p>
          <w:p>
            <w:pPr>
              <w:pStyle w:val="0"/>
              <w:numPr>
                <w:ilvl w:val="0"/>
                <w:numId w:val="1"/>
              </w:numPr>
              <w:spacing w:line="236" w:lineRule="exact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厚　さ：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180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Ｄ（デニール）以上</w:t>
            </w:r>
          </w:p>
          <w:p>
            <w:pPr>
              <w:pStyle w:val="0"/>
              <w:numPr>
                <w:ilvl w:val="0"/>
                <w:numId w:val="1"/>
              </w:numPr>
              <w:spacing w:line="236" w:lineRule="exact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重　量：７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kg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以下</w:t>
            </w:r>
          </w:p>
          <w:p>
            <w:pPr>
              <w:pStyle w:val="0"/>
              <w:numPr>
                <w:ilvl w:val="0"/>
                <w:numId w:val="1"/>
              </w:numPr>
              <w:spacing w:line="236" w:lineRule="exact"/>
              <w:rPr>
                <w:rFonts w:hint="default" w:ascii="游明朝" w:hAnsi="游明朝" w:eastAsia="游明朝"/>
                <w:color w:val="auto"/>
                <w:sz w:val="22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遮光率：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95</w:t>
            </w: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％以上</w:t>
            </w:r>
          </w:p>
          <w:p>
            <w:pPr>
              <w:pStyle w:val="0"/>
              <w:numPr>
                <w:ilvl w:val="0"/>
                <w:numId w:val="1"/>
              </w:numPr>
              <w:spacing w:line="236" w:lineRule="exact"/>
              <w:jc w:val="lef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游明朝" w:hAnsi="游明朝" w:eastAsia="游明朝"/>
                <w:color w:val="auto"/>
                <w:sz w:val="22"/>
                <w:highlight w:val="none"/>
              </w:rPr>
              <w:t>付属品：別紙カタログのとおり</w:t>
            </w:r>
          </w:p>
          <w:p>
            <w:pPr>
              <w:pStyle w:val="0"/>
              <w:spacing w:line="236" w:lineRule="exact"/>
              <w:ind w:left="660" w:firstLine="880" w:firstLineChars="400"/>
              <w:jc w:val="left"/>
              <w:rPr>
                <w:rFonts w:hint="eastAsia"/>
                <w:color w:val="auto"/>
                <w:highlight w:val="none"/>
              </w:rPr>
            </w:pPr>
          </w:p>
        </w:tc>
      </w:tr>
    </w:tbl>
    <w:p>
      <w:pPr>
        <w:pStyle w:val="0"/>
        <w:spacing w:line="236" w:lineRule="exact"/>
        <w:ind w:left="360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ind w:left="660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３　数量</w:t>
      </w:r>
    </w:p>
    <w:p>
      <w:pPr>
        <w:pStyle w:val="0"/>
        <w:spacing w:line="236" w:lineRule="exact"/>
        <w:ind w:firstLine="440" w:firstLineChars="2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1,500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張</w:t>
      </w:r>
    </w:p>
    <w:p>
      <w:pPr>
        <w:pStyle w:val="0"/>
        <w:spacing w:line="236" w:lineRule="exact"/>
        <w:ind w:firstLine="330" w:firstLineChars="150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４　要件</w:t>
      </w:r>
    </w:p>
    <w:p>
      <w:pPr>
        <w:pStyle w:val="0"/>
        <w:numPr>
          <w:ilvl w:val="0"/>
          <w:numId w:val="2"/>
        </w:numPr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本　体</w:t>
      </w:r>
    </w:p>
    <w:p>
      <w:pPr>
        <w:pStyle w:val="0"/>
        <w:spacing w:line="236" w:lineRule="exact"/>
        <w:ind w:left="755" w:leftChars="150" w:hanging="440" w:hangingChars="200"/>
        <w:jc w:val="lef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ア　組立作業を必要とせず、生地の緩みなくワンタッチで設営・撤去ができる構造</w:t>
      </w:r>
    </w:p>
    <w:p>
      <w:pPr>
        <w:pStyle w:val="0"/>
        <w:spacing w:line="236" w:lineRule="exact"/>
        <w:ind w:firstLine="550" w:firstLineChars="250"/>
        <w:jc w:val="lef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で、繰り返し使用でき、省スペースにて保管可能であること。</w:t>
      </w:r>
    </w:p>
    <w:p>
      <w:pPr>
        <w:pStyle w:val="0"/>
        <w:spacing w:line="236" w:lineRule="exact"/>
        <w:ind w:left="1195" w:leftChars="150" w:hanging="880" w:hangingChars="400"/>
        <w:rPr>
          <w:rFonts w:hint="default" w:ascii="游明朝" w:hAnsi="游明朝" w:eastAsia="游明朝"/>
          <w:sz w:val="22"/>
        </w:rPr>
      </w:pPr>
      <w:r>
        <w:rPr>
          <w:rFonts w:hint="eastAsia" w:ascii="游明朝" w:hAnsi="游明朝" w:eastAsia="游明朝"/>
          <w:sz w:val="22"/>
        </w:rPr>
        <w:t>イ　</w:t>
      </w:r>
      <w:r>
        <w:rPr>
          <w:rFonts w:hint="eastAsia" w:ascii="游明朝" w:hAnsi="游明朝" w:eastAsia="游明朝"/>
          <w:sz w:val="22"/>
        </w:rPr>
        <w:t>(</w:t>
      </w:r>
      <w:r>
        <w:rPr>
          <w:rFonts w:hint="eastAsia" w:ascii="游明朝" w:hAnsi="游明朝" w:eastAsia="游明朝"/>
          <w:sz w:val="22"/>
        </w:rPr>
        <w:t>ア）</w:t>
      </w:r>
      <w:r>
        <w:rPr>
          <w:rFonts w:hint="eastAsia" w:ascii="游明朝" w:hAnsi="游明朝" w:eastAsia="游明朝"/>
          <w:sz w:val="22"/>
        </w:rPr>
        <w:t xml:space="preserve"> </w:t>
      </w:r>
      <w:r>
        <w:rPr>
          <w:rFonts w:hint="eastAsia" w:ascii="游明朝" w:hAnsi="游明朝" w:eastAsia="游明朝"/>
          <w:sz w:val="22"/>
        </w:rPr>
        <w:t>床面は、クッション性のあるアルミマット又はそれ以上の耐久性・クッション性を備えたものとすること。サイズは、上記２</w:t>
      </w:r>
      <w:r>
        <w:rPr>
          <w:rFonts w:hint="eastAsia" w:ascii="游明朝" w:hAnsi="游明朝" w:eastAsia="游明朝"/>
          <w:sz w:val="22"/>
        </w:rPr>
        <w:t>(2)</w:t>
      </w:r>
      <w:r>
        <w:rPr>
          <w:rFonts w:hint="eastAsia" w:ascii="游明朝" w:hAnsi="游明朝" w:eastAsia="游明朝"/>
          <w:sz w:val="22"/>
        </w:rPr>
        <w:t>組立時の幅、奥行と同等とすること（幅と奥行はそれぞれ上下</w:t>
      </w:r>
      <w:r>
        <w:rPr>
          <w:rFonts w:hint="eastAsia" w:ascii="游明朝" w:hAnsi="游明朝" w:eastAsia="游明朝"/>
          <w:sz w:val="22"/>
        </w:rPr>
        <w:t>100</w:t>
      </w:r>
      <w:r>
        <w:rPr>
          <w:rFonts w:hint="eastAsia" w:ascii="游明朝" w:hAnsi="游明朝" w:eastAsia="游明朝"/>
          <w:sz w:val="22"/>
        </w:rPr>
        <w:t>ｍｍまでの差は可）。収納袋に梱包し、難しい場合は、梱包箱に張数に応じた床面を梱包すること。</w:t>
      </w:r>
    </w:p>
    <w:p>
      <w:pPr>
        <w:pStyle w:val="0"/>
        <w:spacing w:line="236" w:lineRule="exact"/>
        <w:ind w:left="1175" w:leftChars="350" w:hanging="440" w:hangingChars="200"/>
        <w:rPr>
          <w:rFonts w:hint="default" w:ascii="游明朝" w:hAnsi="游明朝" w:eastAsia="游明朝"/>
          <w:sz w:val="22"/>
        </w:rPr>
      </w:pPr>
      <w:r>
        <w:rPr>
          <w:rFonts w:hint="eastAsia" w:ascii="游明朝" w:hAnsi="游明朝" w:eastAsia="游明朝"/>
          <w:sz w:val="22"/>
        </w:rPr>
        <w:t>(</w:t>
      </w:r>
      <w:r>
        <w:rPr>
          <w:rFonts w:hint="eastAsia" w:ascii="游明朝" w:hAnsi="游明朝" w:eastAsia="游明朝"/>
          <w:sz w:val="22"/>
        </w:rPr>
        <w:t>イ）</w:t>
      </w:r>
      <w:r>
        <w:rPr>
          <w:rFonts w:hint="eastAsia" w:ascii="游明朝" w:hAnsi="游明朝" w:eastAsia="游明朝"/>
          <w:sz w:val="22"/>
        </w:rPr>
        <w:t xml:space="preserve"> </w:t>
      </w:r>
      <w:r>
        <w:rPr>
          <w:rFonts w:hint="eastAsia" w:ascii="游明朝" w:hAnsi="游明朝" w:eastAsia="游明朝"/>
          <w:sz w:val="22"/>
        </w:rPr>
        <w:t>天井面は、耐久性を備え、かつ、幕体と同じポリエステル製とすること。なお、天井面と本体は、紐やマジックテープ等で固定することができることとする。収納袋に梱包し、難しい場合は、梱包箱に張数に応じた天井面を梱包すること。</w:t>
      </w:r>
    </w:p>
    <w:p>
      <w:pPr>
        <w:pStyle w:val="0"/>
        <w:spacing w:line="236" w:lineRule="exact"/>
        <w:ind w:left="840" w:leftChars="400" w:firstLine="0" w:firstLineChars="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</w:rPr>
        <w:t>なお、側面、床面及び天井面のすべてが連結された構造も可とする。</w:t>
      </w:r>
    </w:p>
    <w:p>
      <w:pPr>
        <w:pStyle w:val="0"/>
        <w:spacing w:line="236" w:lineRule="exact"/>
        <w:ind w:left="0" w:leftChars="0" w:firstLine="330" w:firstLineChars="1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ウ　天井面は、ダブルファスナー等で開閉が可能であること。</w:t>
      </w:r>
    </w:p>
    <w:p>
      <w:pPr>
        <w:pStyle w:val="0"/>
        <w:spacing w:line="236" w:lineRule="exact"/>
        <w:ind w:left="535" w:leftChars="150" w:hanging="220" w:hangingChars="1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エ　天井面は、プライバシーを守るために外部からの視線を遮断できるよう、隙間のない構造とすること。なお、天井幕シートがメッシュ生地等になっている場合は目隠しシート等によって外部の視線を遮断でき、プライベートを守れる構造になっていること。</w:t>
      </w:r>
    </w:p>
    <w:p>
      <w:pPr>
        <w:pStyle w:val="0"/>
        <w:spacing w:line="236" w:lineRule="exact"/>
        <w:ind w:left="535" w:leftChars="150" w:hanging="220" w:hangingChars="1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オ　出入口はファスナーにより内外から開閉可能であること。なお、侵入防止のため、ファスナーを内側に隠すことができる、もしくは、内鍵等で固定することができること。</w:t>
      </w:r>
    </w:p>
    <w:p>
      <w:pPr>
        <w:pStyle w:val="0"/>
        <w:spacing w:line="236" w:lineRule="exact"/>
        <w:ind w:left="535" w:leftChars="150" w:hanging="220" w:hangingChars="1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カ　出入口はマジックテープやひも等の留め具により、全開・半開を調整できること。</w:t>
      </w:r>
    </w:p>
    <w:p>
      <w:pPr>
        <w:pStyle w:val="0"/>
        <w:spacing w:line="236" w:lineRule="exact"/>
        <w:ind w:left="535" w:leftChars="150" w:hanging="220" w:hangingChars="1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キ　出入口は、車椅子で出入りができるような形状（幅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900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ｍｍ以上、高さ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1,300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ｍｍ以上）であること、又は、出入口部コーナーのマジックテープを解除し、出入</w:t>
      </w:r>
    </w:p>
    <w:p>
      <w:pPr>
        <w:pStyle w:val="0"/>
        <w:spacing w:line="236" w:lineRule="exact"/>
        <w:ind w:left="525" w:leftChars="250" w:firstLine="110" w:firstLineChars="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りが自由にできるような形状であること。</w:t>
      </w:r>
    </w:p>
    <w:p>
      <w:pPr>
        <w:pStyle w:val="0"/>
        <w:spacing w:line="236" w:lineRule="exact"/>
        <w:ind w:left="755" w:leftChars="150" w:hanging="440" w:hangingChars="2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ク　取扱説明書は、写真やイラスト等により組立・収納手順をわかりやすく記載し</w:t>
      </w:r>
    </w:p>
    <w:p>
      <w:pPr>
        <w:pStyle w:val="0"/>
        <w:spacing w:line="236" w:lineRule="exact"/>
        <w:ind w:firstLine="550" w:firstLineChars="2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ていること。</w:t>
      </w:r>
    </w:p>
    <w:p>
      <w:pPr>
        <w:pStyle w:val="0"/>
        <w:spacing w:line="236" w:lineRule="exact"/>
        <w:ind w:left="645" w:leftChars="150" w:hanging="330" w:hangingChars="1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ケ　生地の内面をシルバーコーティングなどし、内部で着替え等を行う際に、外部　</w:t>
      </w:r>
    </w:p>
    <w:p>
      <w:pPr>
        <w:pStyle w:val="0"/>
        <w:spacing w:line="236" w:lineRule="exact"/>
        <w:ind w:left="635" w:leftChars="250" w:hanging="110" w:hangingChars="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から透けて見えないようにすること。</w:t>
      </w:r>
    </w:p>
    <w:p>
      <w:pPr>
        <w:pStyle w:val="0"/>
        <w:spacing w:line="236" w:lineRule="exact"/>
        <w:ind w:left="645" w:leftChars="150" w:hanging="330" w:hangingChars="1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コ　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ISO:9001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・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14001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取得メーカー商品であること。日本国内での検査登録証を提　</w:t>
      </w:r>
    </w:p>
    <w:p>
      <w:pPr>
        <w:pStyle w:val="0"/>
        <w:spacing w:line="236" w:lineRule="exact"/>
        <w:ind w:left="635" w:leftChars="250" w:hanging="110" w:hangingChars="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出すること。</w:t>
      </w:r>
    </w:p>
    <w:p>
      <w:pPr>
        <w:pStyle w:val="0"/>
        <w:spacing w:line="236" w:lineRule="exact"/>
        <w:ind w:left="645" w:leftChars="150" w:hanging="330" w:hangingChars="1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サ　間仕切り本体には抗菌、難燃加工が施されていること。なお、カケン等にて</w:t>
      </w:r>
    </w:p>
    <w:p>
      <w:pPr>
        <w:pStyle w:val="0"/>
        <w:spacing w:line="236" w:lineRule="exact"/>
        <w:ind w:firstLine="550" w:firstLineChars="2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JISL1902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：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2015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試験方法にそって菌の増殖を防ぐ試験結果、並びに燃焼結果の試</w:t>
      </w:r>
    </w:p>
    <w:p>
      <w:pPr>
        <w:pStyle w:val="0"/>
        <w:spacing w:line="236" w:lineRule="exact"/>
        <w:ind w:firstLine="550" w:firstLineChars="2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験結果を提出すること。試験結果に係る証明書は、日本語表記とすること。</w:t>
      </w:r>
    </w:p>
    <w:p>
      <w:pPr>
        <w:pStyle w:val="0"/>
        <w:spacing w:line="236" w:lineRule="exact"/>
        <w:ind w:left="535" w:leftChars="150" w:hanging="220" w:hangingChars="1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シ　出入口周辺に表札・メッセージボードをクリップ、ポケット等を使用して掲示できること。</w:t>
      </w:r>
    </w:p>
    <w:p>
      <w:pPr>
        <w:pStyle w:val="0"/>
        <w:numPr>
          <w:ilvl w:val="0"/>
          <w:numId w:val="2"/>
        </w:numPr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収納袋</w:t>
      </w:r>
    </w:p>
    <w:p>
      <w:pPr>
        <w:pStyle w:val="0"/>
        <w:spacing w:line="236" w:lineRule="exact"/>
        <w:ind w:left="63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ショルダーとファスナー付きの円形収納袋とし、本体・付属品一式をまとめて収納できること。</w:t>
      </w:r>
    </w:p>
    <w:p>
      <w:pPr>
        <w:pStyle w:val="21"/>
        <w:numPr>
          <w:ilvl w:val="0"/>
          <w:numId w:val="2"/>
        </w:numPr>
        <w:spacing w:line="236" w:lineRule="exact"/>
        <w:ind w:leftChars="0" w:firstLineChars="0"/>
        <w:rPr>
          <w:rFonts w:hint="default" w:ascii="游明朝" w:hAnsi="游明朝" w:eastAsia="游明朝"/>
          <w:color w:val="auto"/>
          <w:sz w:val="22"/>
          <w:highlight w:val="none"/>
        </w:rPr>
      </w:pPr>
      <w:bookmarkStart w:id="2" w:name="_GoBack"/>
      <w:bookmarkEnd w:id="2"/>
      <w:r>
        <w:rPr>
          <w:rFonts w:hint="eastAsia" w:ascii="游明朝" w:hAnsi="游明朝" w:eastAsia="游明朝"/>
          <w:color w:val="auto"/>
          <w:sz w:val="22"/>
          <w:highlight w:val="none"/>
        </w:rPr>
        <w:t>その他</w:t>
      </w:r>
    </w:p>
    <w:p>
      <w:pPr>
        <w:pStyle w:val="21"/>
        <w:numPr>
          <w:numId w:val="0"/>
        </w:numPr>
        <w:spacing w:line="236" w:lineRule="exact"/>
        <w:ind w:left="0" w:leftChars="0" w:firstLine="660" w:firstLineChars="30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カラーは統一すること。</w:t>
      </w:r>
    </w:p>
    <w:p>
      <w:pPr>
        <w:pStyle w:val="21"/>
        <w:numPr>
          <w:numId w:val="0"/>
        </w:numPr>
        <w:spacing w:line="236" w:lineRule="exact"/>
        <w:ind w:left="0" w:leftChars="0" w:firstLine="550" w:firstLineChars="250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５　納品場所</w:t>
      </w: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　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 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センコー株式会社　広島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PD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センター</w:t>
      </w: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　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 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広島県広島市安佐南区伴西三丁目４－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11</w:t>
      </w: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６　納期</w:t>
      </w: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　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 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令和７年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月１日（水）～令和８年２月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27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日（金）の間とする。</w:t>
      </w:r>
    </w:p>
    <w:p>
      <w:pPr>
        <w:pStyle w:val="0"/>
        <w:spacing w:line="236" w:lineRule="exact"/>
        <w:ind w:left="770" w:hanging="770" w:hangingChars="350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　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　※納品日時、納品方法等については、発注者と受注者で協議のうえ、決定すること。</w:t>
      </w:r>
    </w:p>
    <w:p>
      <w:pPr>
        <w:pStyle w:val="0"/>
        <w:spacing w:line="236" w:lineRule="exact"/>
        <w:ind w:left="822" w:leftChars="269" w:hanging="257" w:hangingChars="117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※納品に係る１日当たりのトラックの台数は、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月、１月及び２月は最大５台、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11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月及び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12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月は最大３台とする。</w:t>
      </w:r>
    </w:p>
    <w:p>
      <w:pPr>
        <w:pStyle w:val="0"/>
        <w:spacing w:line="236" w:lineRule="exact"/>
        <w:ind w:left="712" w:leftChars="269" w:hanging="147" w:hangingChars="67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※その他の納品ルールについては、別紙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参照</w:t>
      </w: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７　納品時の留意事項</w:t>
      </w:r>
    </w:p>
    <w:p>
      <w:pPr>
        <w:pStyle w:val="0"/>
        <w:numPr>
          <w:ilvl w:val="0"/>
          <w:numId w:val="3"/>
        </w:numPr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収納袋に収納したパーティションを梱包箱に入れ、梱包箱をパレットに積載し、パレタイズされた状態で納品すること。</w:t>
      </w:r>
      <w:bookmarkStart w:id="3" w:name="_Hlk204083876"/>
      <w:r>
        <w:rPr>
          <w:rFonts w:hint="eastAsia" w:ascii="游明朝" w:hAnsi="游明朝" w:eastAsia="游明朝"/>
          <w:color w:val="auto"/>
          <w:sz w:val="22"/>
          <w:highlight w:val="none"/>
        </w:rPr>
        <w:t>高さは、パレット込みで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1,370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ｍｍ以内とすること。</w:t>
      </w:r>
    </w:p>
    <w:p>
      <w:pPr>
        <w:pStyle w:val="0"/>
        <w:numPr>
          <w:ilvl w:val="0"/>
          <w:numId w:val="3"/>
        </w:numPr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bookmarkEnd w:id="3"/>
      <w:bookmarkStart w:id="4" w:name="_Hlk204083910"/>
      <w:r>
        <w:rPr>
          <w:rFonts w:hint="eastAsia" w:ascii="游明朝" w:hAnsi="游明朝" w:eastAsia="游明朝"/>
          <w:color w:val="auto"/>
          <w:sz w:val="22"/>
          <w:highlight w:val="none"/>
        </w:rPr>
        <w:t>パレットサイズは、幅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1,100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ｍｍ×奥行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1,100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ｍｍ×高さ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120~150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ｍｍとすること。</w:t>
      </w:r>
    </w:p>
    <w:p>
      <w:pPr>
        <w:pStyle w:val="0"/>
        <w:numPr>
          <w:ilvl w:val="0"/>
          <w:numId w:val="3"/>
        </w:numPr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bookmarkEnd w:id="4"/>
      <w:bookmarkStart w:id="5" w:name="_Hlk204084044"/>
      <w:r>
        <w:rPr>
          <w:rFonts w:hint="eastAsia" w:ascii="游明朝" w:hAnsi="游明朝" w:eastAsia="游明朝"/>
          <w:color w:val="auto"/>
          <w:sz w:val="22"/>
          <w:highlight w:val="none"/>
        </w:rPr>
        <w:t>パレット数は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110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パレット以内とすること。これを超える場合は、発注者と協議すること。</w:t>
      </w:r>
    </w:p>
    <w:p>
      <w:pPr>
        <w:pStyle w:val="0"/>
        <w:numPr>
          <w:ilvl w:val="0"/>
          <w:numId w:val="3"/>
        </w:numPr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分納となる場合は、発注者と協議のうえ、日程を調整すること。</w:t>
      </w:r>
      <w:bookmarkEnd w:id="5"/>
      <w:bookmarkStart w:id="6" w:name="_Hlk204083982"/>
    </w:p>
    <w:p>
      <w:pPr>
        <w:pStyle w:val="0"/>
        <w:numPr>
          <w:ilvl w:val="0"/>
          <w:numId w:val="3"/>
        </w:numPr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その他、納品に関する事項については、発注者の指示を仰ぐこと。</w:t>
      </w:r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bookmarkEnd w:id="6"/>
    </w:p>
    <w:p>
      <w:pPr>
        <w:pStyle w:val="0"/>
        <w:spacing w:line="236" w:lineRule="exact"/>
        <w:rPr>
          <w:rFonts w:hint="default" w:ascii="游明朝" w:hAnsi="游明朝" w:eastAsia="游明朝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８　その他</w:t>
      </w:r>
    </w:p>
    <w:p>
      <w:pPr>
        <w:pStyle w:val="0"/>
        <w:numPr>
          <w:numId w:val="0"/>
        </w:numPr>
        <w:spacing w:line="236" w:lineRule="exact"/>
        <w:ind w:left="760" w:leftChars="100" w:hanging="550" w:hangingChars="250"/>
        <w:rPr>
          <w:rFonts w:hint="default" w:ascii="游明朝" w:hAnsi="游明朝" w:eastAsia="游明朝"/>
          <w:strike w:val="0"/>
          <w:dstrike w:val="1"/>
          <w:color w:val="auto"/>
          <w:sz w:val="22"/>
          <w:highlight w:val="none"/>
        </w:rPr>
      </w:pPr>
      <w:bookmarkStart w:id="7" w:name="_Hlk200708184"/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(1) 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受注者は、発注者と十分打合せを行い、業務を遂行するとともに、調整が必要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となった場合は速やかに協議すること。</w:t>
      </w:r>
    </w:p>
    <w:p>
      <w:pPr>
        <w:pStyle w:val="0"/>
        <w:numPr>
          <w:numId w:val="0"/>
        </w:numPr>
        <w:spacing w:line="236" w:lineRule="exact"/>
        <w:ind w:left="870" w:leftChars="100" w:hanging="660" w:hangingChars="300"/>
        <w:rPr>
          <w:rFonts w:hint="default" w:ascii="游明朝" w:hAnsi="游明朝" w:eastAsia="游明朝"/>
          <w:strike w:val="0"/>
          <w:dstrike w:val="1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(2) 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受注者の責めに帰すべき事由により、製品が毀損、汚損、破損又は滅失した場合</w:t>
      </w:r>
    </w:p>
    <w:p>
      <w:pPr>
        <w:pStyle w:val="0"/>
        <w:numPr>
          <w:numId w:val="0"/>
        </w:numPr>
        <w:spacing w:line="236" w:lineRule="exact"/>
        <w:ind w:left="735" w:leftChars="350" w:firstLineChars="0"/>
        <w:rPr>
          <w:rFonts w:hint="default" w:ascii="游明朝" w:hAnsi="游明朝" w:eastAsia="游明朝"/>
          <w:strike w:val="0"/>
          <w:dstrike w:val="1"/>
          <w:color w:val="auto"/>
          <w:sz w:val="22"/>
          <w:highlight w:val="none"/>
        </w:rPr>
      </w:pPr>
      <w:r>
        <w:rPr>
          <w:rFonts w:hint="eastAsia" w:ascii="游明朝" w:hAnsi="游明朝" w:eastAsia="游明朝"/>
          <w:color w:val="auto"/>
          <w:sz w:val="22"/>
          <w:highlight w:val="none"/>
        </w:rPr>
        <w:t>は、速やかに発注者に報告するとともに、受注者の負担によりこれを補填するものとすること。</w:t>
      </w:r>
      <w:bookmarkStart w:id="8" w:name="_Hlk204083663"/>
    </w:p>
    <w:p>
      <w:pPr>
        <w:pStyle w:val="0"/>
        <w:numPr>
          <w:numId w:val="0"/>
        </w:numPr>
        <w:spacing w:line="236" w:lineRule="exact"/>
        <w:ind w:left="760" w:leftChars="100" w:hanging="550" w:hangingChars="250"/>
        <w:rPr>
          <w:rFonts w:hint="default"/>
          <w:color w:val="auto"/>
          <w:highlight w:val="none"/>
        </w:rPr>
      </w:pPr>
      <w:bookmarkEnd w:id="8"/>
      <w:r>
        <w:rPr>
          <w:rFonts w:hint="eastAsia" w:ascii="游明朝" w:hAnsi="游明朝" w:eastAsia="游明朝"/>
          <w:color w:val="auto"/>
          <w:sz w:val="22"/>
          <w:highlight w:val="none"/>
        </w:rPr>
        <w:t xml:space="preserve">(3)  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仕様書に定めのない事項については、必要に応じて発注者、受注者の協議の上</w:t>
      </w:r>
      <w:r>
        <w:rPr>
          <w:rFonts w:hint="eastAsia" w:ascii="游明朝" w:hAnsi="游明朝" w:eastAsia="游明朝"/>
          <w:strike w:val="0"/>
          <w:dstrike w:val="0"/>
          <w:color w:val="auto"/>
          <w:sz w:val="22"/>
          <w:highlight w:val="none"/>
        </w:rPr>
        <w:t>決定する</w:t>
      </w:r>
      <w:r>
        <w:rPr>
          <w:rFonts w:hint="eastAsia" w:ascii="游明朝" w:hAnsi="游明朝" w:eastAsia="游明朝"/>
          <w:color w:val="auto"/>
          <w:sz w:val="22"/>
          <w:highlight w:val="none"/>
        </w:rPr>
        <w:t>こと</w:t>
      </w:r>
      <w:bookmarkEnd w:id="7"/>
      <w:r>
        <w:rPr>
          <w:rFonts w:hint="eastAsia" w:ascii="游明朝" w:hAnsi="游明朝" w:eastAsia="游明朝"/>
          <w:color w:val="auto"/>
          <w:sz w:val="22"/>
          <w:highlight w:val="none"/>
        </w:rPr>
        <w:t>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D16C0D0"/>
    <w:lvl w:ilvl="0" w:tplc="00000000">
      <w:start w:val="1"/>
      <w:numFmt w:val="decimalEnclosedParen"/>
      <w:lvlText w:val="%1"/>
      <w:lvlJc w:val="left"/>
      <w:pPr>
        <w:ind w:left="660" w:hanging="44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ind w:left="1100" w:hanging="440"/>
      </w:pPr>
    </w:lvl>
    <w:lvl w:ilvl="2" w:tplc="00000000">
      <w:start w:val="1"/>
      <w:numFmt w:val="decimalEnclosedCircle"/>
      <w:lvlText w:val="%3"/>
      <w:lvlJc w:val="left"/>
      <w:pPr>
        <w:ind w:left="1540" w:hanging="440"/>
      </w:pPr>
    </w:lvl>
    <w:lvl w:ilvl="3" w:tplc="00000000">
      <w:start w:val="1"/>
      <w:numFmt w:val="decimal"/>
      <w:lvlText w:val="%4."/>
      <w:lvlJc w:val="left"/>
      <w:pPr>
        <w:ind w:left="1980" w:hanging="440"/>
      </w:pPr>
    </w:lvl>
    <w:lvl w:ilvl="4" w:tplc="00000000">
      <w:start w:val="1"/>
      <w:numFmt w:val="aiueoFullWidth"/>
      <w:lvlText w:val="(%5)"/>
      <w:lvlJc w:val="left"/>
      <w:pPr>
        <w:ind w:left="2420" w:hanging="440"/>
      </w:pPr>
    </w:lvl>
    <w:lvl w:ilvl="5" w:tplc="00000000">
      <w:start w:val="1"/>
      <w:numFmt w:val="decimalEnclosedCircle"/>
      <w:lvlText w:val="%6"/>
      <w:lvlJc w:val="left"/>
      <w:pPr>
        <w:ind w:left="2860" w:hanging="440"/>
      </w:pPr>
    </w:lvl>
    <w:lvl w:ilvl="6" w:tplc="00000000">
      <w:start w:val="1"/>
      <w:numFmt w:val="decimal"/>
      <w:lvlText w:val="%7."/>
      <w:lvlJc w:val="left"/>
      <w:pPr>
        <w:ind w:left="3300" w:hanging="440"/>
      </w:pPr>
    </w:lvl>
    <w:lvl w:ilvl="7" w:tplc="00000000">
      <w:start w:val="1"/>
      <w:numFmt w:val="aiueoFullWidth"/>
      <w:lvlText w:val="(%8)"/>
      <w:lvlJc w:val="left"/>
      <w:pPr>
        <w:ind w:left="3740" w:hanging="440"/>
      </w:pPr>
    </w:lvl>
    <w:lvl w:ilvl="8" w:tplc="00000000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">
    <w:nsid w:val="00000002"/>
    <w:multiLevelType w:val="hybridMultilevel"/>
    <w:tmpl w:val="C304F2CC"/>
    <w:lvl w:ilvl="0" w:tplc="D783F393">
      <w:start w:val="1"/>
      <w:numFmt w:val="decimalEnclosedParen"/>
      <w:lvlText w:val="%1"/>
      <w:lvlJc w:val="left"/>
      <w:pPr>
        <w:ind w:left="660" w:hanging="44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0000000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 w:tplc="0000000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plc="00000000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 w:tplc="00000000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 w:tplc="0000000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plc="00000000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 w:tplc="00000000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">
    <w:nsid w:val="00000003"/>
    <w:multiLevelType w:val="hybridMultilevel"/>
    <w:tmpl w:val="560EC3C2"/>
    <w:lvl w:ilvl="0" w:tplc="00000000">
      <w:start w:val="1"/>
      <w:numFmt w:val="decimalEnclosedParen"/>
      <w:lvlText w:val="%1"/>
      <w:lvlJc w:val="left"/>
      <w:pPr>
        <w:ind w:left="665" w:hanging="440"/>
      </w:pPr>
      <w:rPr>
        <w:rFonts w:hint="eastAsia"/>
      </w:rPr>
    </w:lvl>
    <w:lvl w:ilvl="1" w:tplc="00000000">
      <w:start w:val="1"/>
      <w:numFmt w:val="aiueoFullWidth"/>
      <w:lvlText w:val="(%2)"/>
      <w:lvlJc w:val="left"/>
      <w:pPr>
        <w:ind w:left="1105" w:hanging="440"/>
      </w:pPr>
    </w:lvl>
    <w:lvl w:ilvl="2" w:tplc="00000000">
      <w:start w:val="1"/>
      <w:numFmt w:val="decimalEnclosedCircle"/>
      <w:lvlText w:val="%3"/>
      <w:lvlJc w:val="left"/>
      <w:pPr>
        <w:ind w:left="1545" w:hanging="440"/>
      </w:pPr>
    </w:lvl>
    <w:lvl w:ilvl="3" w:tplc="00000000">
      <w:start w:val="1"/>
      <w:numFmt w:val="decimal"/>
      <w:lvlText w:val="%4."/>
      <w:lvlJc w:val="left"/>
      <w:pPr>
        <w:ind w:left="1985" w:hanging="440"/>
      </w:pPr>
    </w:lvl>
    <w:lvl w:ilvl="4" w:tplc="00000000">
      <w:start w:val="1"/>
      <w:numFmt w:val="aiueoFullWidth"/>
      <w:lvlText w:val="(%5)"/>
      <w:lvlJc w:val="left"/>
      <w:pPr>
        <w:ind w:left="2425" w:hanging="440"/>
      </w:pPr>
    </w:lvl>
    <w:lvl w:ilvl="5" w:tplc="00000000">
      <w:start w:val="1"/>
      <w:numFmt w:val="decimalEnclosedCircle"/>
      <w:lvlText w:val="%6"/>
      <w:lvlJc w:val="left"/>
      <w:pPr>
        <w:ind w:left="2865" w:hanging="440"/>
      </w:pPr>
    </w:lvl>
    <w:lvl w:ilvl="6" w:tplc="00000000">
      <w:start w:val="1"/>
      <w:numFmt w:val="decimal"/>
      <w:lvlText w:val="%7."/>
      <w:lvlJc w:val="left"/>
      <w:pPr>
        <w:ind w:left="3305" w:hanging="440"/>
      </w:pPr>
    </w:lvl>
    <w:lvl w:ilvl="7" w:tplc="00000000">
      <w:start w:val="1"/>
      <w:numFmt w:val="aiueoFullWidth"/>
      <w:lvlText w:val="(%8)"/>
      <w:lvlJc w:val="left"/>
      <w:pPr>
        <w:ind w:left="3745" w:hanging="440"/>
      </w:pPr>
    </w:lvl>
    <w:lvl w:ilvl="8" w:tplc="00000000">
      <w:start w:val="1"/>
      <w:numFmt w:val="decimalEnclosedCircle"/>
      <w:lvlText w:val="%9"/>
      <w:lvlJc w:val="left"/>
      <w:pPr>
        <w:ind w:left="4185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2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paragraph" w:styleId="21">
    <w:name w:val="List Paragraph"/>
    <w:basedOn w:val="0"/>
    <w:next w:val="21"/>
    <w:link w:val="0"/>
    <w:uiPriority w:val="0"/>
    <w:qFormat/>
    <w:pPr>
      <w:ind w:left="400" w:leftChars="400"/>
    </w:p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159</TotalTime>
  <Pages>2</Pages>
  <Words>54</Words>
  <Characters>2007</Characters>
  <Application>JUST Note</Application>
  <Lines>103</Lines>
  <Paragraphs>68</Paragraphs>
  <Company>広島県庁</Company>
  <CharactersWithSpaces>2074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池田 風子</dc:creator>
  <cp:lastModifiedBy>池田 風子</cp:lastModifiedBy>
  <cp:lastPrinted>2025-08-18T08:17:32Z</cp:lastPrinted>
  <dcterms:created xsi:type="dcterms:W3CDTF">2025-07-29T00:14:00Z</dcterms:created>
  <dcterms:modified xsi:type="dcterms:W3CDTF">2025-08-18T08:19:32Z</dcterms:modified>
  <cp:revision>9</cp:revision>
</cp:coreProperties>
</file>